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8DF7E" w14:textId="4AE01F93" w:rsidR="00222B97" w:rsidRPr="0052548E" w:rsidRDefault="005D6354" w:rsidP="00222B97">
      <w:pPr>
        <w:tabs>
          <w:tab w:val="center" w:pos="4536"/>
          <w:tab w:val="right" w:pos="8280"/>
          <w:tab w:val="right" w:pos="9781"/>
        </w:tabs>
        <w:ind w:right="-58"/>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22B97" w:rsidRPr="0052548E">
        <w:rPr>
          <w:rFonts w:ascii="Arial" w:hAnsi="Arial" w:cs="Arial"/>
          <w:b/>
          <w:bCs/>
          <w:sz w:val="28"/>
        </w:rPr>
        <w:t>3GPP TSG RAN WG1 Meeting #</w:t>
      </w:r>
      <w:r w:rsidR="00222B97">
        <w:rPr>
          <w:rFonts w:ascii="Arial" w:eastAsia="MS Mincho" w:hAnsi="Arial" w:cs="Arial" w:hint="eastAsia"/>
          <w:b/>
          <w:bCs/>
          <w:sz w:val="28"/>
          <w:lang w:eastAsia="ja-JP"/>
        </w:rPr>
        <w:t>90</w:t>
      </w:r>
      <w:r w:rsidR="00222B97">
        <w:rPr>
          <w:rFonts w:ascii="Arial" w:hAnsi="Arial" w:cs="Arial" w:hint="eastAsia"/>
          <w:b/>
          <w:bCs/>
          <w:sz w:val="28"/>
        </w:rPr>
        <w:t xml:space="preserve">               </w:t>
      </w:r>
      <w:r w:rsidR="00222B97">
        <w:rPr>
          <w:rFonts w:ascii="Arial" w:eastAsia="MS Mincho" w:hAnsi="Arial" w:cs="Arial" w:hint="eastAsia"/>
          <w:b/>
          <w:bCs/>
          <w:sz w:val="28"/>
          <w:lang w:eastAsia="ja-JP"/>
        </w:rPr>
        <w:t xml:space="preserve">                           </w:t>
      </w:r>
      <w:r w:rsidR="00222B97" w:rsidRPr="009513AC">
        <w:rPr>
          <w:rFonts w:ascii="Arial" w:eastAsia="MS Mincho" w:hAnsi="Arial" w:cs="Arial" w:hint="eastAsia"/>
          <w:b/>
          <w:bCs/>
          <w:sz w:val="28"/>
          <w:lang w:eastAsia="ja-JP"/>
        </w:rPr>
        <w:t xml:space="preserve"> </w:t>
      </w:r>
      <w:r w:rsidR="00222B97">
        <w:rPr>
          <w:rFonts w:ascii="Arial" w:hAnsi="Arial" w:cs="Arial"/>
          <w:b/>
          <w:bCs/>
          <w:sz w:val="28"/>
        </w:rPr>
        <w:tab/>
        <w:t>R1-1</w:t>
      </w:r>
      <w:r w:rsidR="00222B97" w:rsidRPr="009513AC">
        <w:rPr>
          <w:rFonts w:ascii="Arial" w:eastAsia="MS Mincho" w:hAnsi="Arial" w:cs="Arial" w:hint="eastAsia"/>
          <w:b/>
          <w:bCs/>
          <w:sz w:val="28"/>
          <w:lang w:eastAsia="ja-JP"/>
        </w:rPr>
        <w:t>7</w:t>
      </w:r>
      <w:r w:rsidR="00B92FBB">
        <w:rPr>
          <w:rFonts w:ascii="Arial" w:hAnsi="Arial" w:cs="Arial" w:hint="eastAsia"/>
          <w:b/>
          <w:bCs/>
          <w:sz w:val="28"/>
        </w:rPr>
        <w:t>143</w:t>
      </w:r>
      <w:r w:rsidR="00B92FBB">
        <w:rPr>
          <w:rFonts w:ascii="Arial" w:hAnsi="Arial" w:cs="Arial"/>
          <w:b/>
          <w:bCs/>
          <w:sz w:val="28"/>
        </w:rPr>
        <w:t>66</w:t>
      </w:r>
      <w:bookmarkStart w:id="0" w:name="_GoBack"/>
      <w:bookmarkEnd w:id="0"/>
    </w:p>
    <w:p w14:paraId="1292AF7B" w14:textId="77777777" w:rsidR="00222B97" w:rsidRPr="009513AC" w:rsidRDefault="00222B97" w:rsidP="00222B97">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Pr>
          <w:rFonts w:ascii="Arial" w:eastAsia="MS Mincho" w:hAnsi="Arial" w:cs="Arial" w:hint="eastAsia"/>
          <w:b/>
          <w:bCs/>
          <w:sz w:val="28"/>
          <w:lang w:eastAsia="ja-JP"/>
        </w:rPr>
        <w:t>P.R. Czechia</w:t>
      </w:r>
      <w:r>
        <w:rPr>
          <w:rFonts w:ascii="Arial" w:hAnsi="Arial" w:cs="Arial"/>
          <w:b/>
          <w:bCs/>
          <w:sz w:val="28"/>
        </w:rPr>
        <w:t xml:space="preserve"> </w:t>
      </w:r>
      <w:r>
        <w:rPr>
          <w:rFonts w:ascii="Arial" w:eastAsia="MS Mincho" w:hAnsi="Arial" w:cs="Arial" w:hint="eastAsia"/>
          <w:b/>
          <w:bCs/>
          <w:sz w:val="28"/>
          <w:lang w:eastAsia="ja-JP"/>
        </w:rPr>
        <w:t>21th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79098AEE" w14:textId="26BD0D02" w:rsidR="00590CF6" w:rsidRPr="002141D9" w:rsidRDefault="00590CF6" w:rsidP="00222B97">
      <w:pPr>
        <w:tabs>
          <w:tab w:val="center" w:pos="4536"/>
          <w:tab w:val="right" w:pos="8280"/>
          <w:tab w:val="right" w:pos="9781"/>
        </w:tabs>
        <w:ind w:right="-58"/>
        <w:rPr>
          <w:rFonts w:ascii="Arial" w:eastAsia="Batang" w:hAnsi="Arial"/>
          <w:b/>
          <w:sz w:val="18"/>
          <w:szCs w:val="20"/>
          <w:lang w:val="en-GB"/>
        </w:rPr>
      </w:pPr>
    </w:p>
    <w:p w14:paraId="7E23BD73" w14:textId="77777777" w:rsidR="00590CF6" w:rsidRPr="002141D9" w:rsidRDefault="00590CF6" w:rsidP="00590CF6">
      <w:pPr>
        <w:autoSpaceDE/>
        <w:autoSpaceDN/>
        <w:adjustRightInd/>
        <w:snapToGrid/>
        <w:spacing w:after="0"/>
        <w:ind w:left="1440" w:hanging="1440"/>
        <w:jc w:val="left"/>
        <w:rPr>
          <w:rFonts w:ascii="Times" w:eastAsia="Batang" w:hAnsi="Times"/>
          <w:sz w:val="20"/>
          <w:szCs w:val="20"/>
          <w:lang w:val="en-GB"/>
        </w:rPr>
      </w:pPr>
    </w:p>
    <w:p w14:paraId="3C27E1AF" w14:textId="77777777" w:rsidR="00590CF6" w:rsidRPr="008559C6" w:rsidRDefault="00590CF6" w:rsidP="00590CF6">
      <w:pPr>
        <w:pStyle w:val="TdocHeader2"/>
        <w:spacing w:after="60"/>
        <w:jc w:val="left"/>
        <w:rPr>
          <w:sz w:val="20"/>
        </w:rPr>
      </w:pPr>
      <w:r w:rsidRPr="00183562">
        <w:rPr>
          <w:sz w:val="20"/>
        </w:rPr>
        <w:t>Source:</w:t>
      </w:r>
      <w:r w:rsidRPr="00183562">
        <w:rPr>
          <w:sz w:val="20"/>
        </w:rPr>
        <w:tab/>
      </w:r>
      <w:r w:rsidRPr="008559C6">
        <w:rPr>
          <w:sz w:val="20"/>
        </w:rPr>
        <w:t>Xiaomi</w:t>
      </w:r>
    </w:p>
    <w:p w14:paraId="6109C89E" w14:textId="166B059D" w:rsidR="00590CF6" w:rsidRPr="008559C6" w:rsidRDefault="00590CF6" w:rsidP="00590CF6">
      <w:pPr>
        <w:pStyle w:val="TdocHeader2"/>
        <w:spacing w:after="60"/>
        <w:jc w:val="left"/>
        <w:rPr>
          <w:sz w:val="20"/>
        </w:rPr>
      </w:pPr>
      <w:r w:rsidRPr="00183562">
        <w:rPr>
          <w:sz w:val="20"/>
        </w:rPr>
        <w:t xml:space="preserve">Title: </w:t>
      </w:r>
      <w:r w:rsidRPr="00183562">
        <w:rPr>
          <w:sz w:val="20"/>
        </w:rPr>
        <w:tab/>
      </w:r>
      <w:r w:rsidRPr="008559C6">
        <w:rPr>
          <w:sz w:val="20"/>
        </w:rPr>
        <w:t xml:space="preserve">Discussion on </w:t>
      </w:r>
      <w:r w:rsidR="00517B2A">
        <w:rPr>
          <w:sz w:val="20"/>
        </w:rPr>
        <w:t>the content of group common PDCCH</w:t>
      </w:r>
    </w:p>
    <w:p w14:paraId="4F6251A1" w14:textId="0591D38E" w:rsidR="00590CF6" w:rsidRPr="008559C6" w:rsidRDefault="00590CF6" w:rsidP="00590CF6">
      <w:pPr>
        <w:pStyle w:val="TdocHeader2"/>
        <w:spacing w:after="60"/>
        <w:jc w:val="left"/>
        <w:rPr>
          <w:sz w:val="20"/>
        </w:rPr>
      </w:pPr>
      <w:r w:rsidRPr="008559C6">
        <w:rPr>
          <w:sz w:val="20"/>
        </w:rPr>
        <w:t>Agenda Item:</w:t>
      </w:r>
      <w:r w:rsidRPr="008559C6">
        <w:rPr>
          <w:sz w:val="20"/>
        </w:rPr>
        <w:tab/>
      </w:r>
      <w:r w:rsidR="00B302C5">
        <w:rPr>
          <w:sz w:val="20"/>
        </w:rPr>
        <w:t>6</w:t>
      </w:r>
      <w:r w:rsidR="0099066B">
        <w:rPr>
          <w:sz w:val="20"/>
        </w:rPr>
        <w:t>.1.3.1.4.2</w:t>
      </w:r>
    </w:p>
    <w:p w14:paraId="09E26D7A" w14:textId="77777777" w:rsidR="00590CF6" w:rsidRPr="008559C6" w:rsidRDefault="00590CF6" w:rsidP="00590CF6">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66C9ADCC" w:rsidR="008559C6" w:rsidRPr="008559C6" w:rsidRDefault="008559C6" w:rsidP="00590CF6">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A2C4158" w14:textId="613B39E8" w:rsidR="004917E8" w:rsidRDefault="007E6616" w:rsidP="00F75453">
      <w:pPr>
        <w:widowControl w:val="0"/>
        <w:spacing w:before="120"/>
        <w:rPr>
          <w:rFonts w:eastAsia="MS Mincho"/>
        </w:rPr>
      </w:pPr>
      <w:r>
        <w:rPr>
          <w:rFonts w:eastAsia="MS Mincho"/>
        </w:rPr>
        <w:t xml:space="preserve">In the </w:t>
      </w:r>
      <w:r w:rsidR="00F75453">
        <w:rPr>
          <w:rFonts w:eastAsia="MS Mincho"/>
        </w:rPr>
        <w:t xml:space="preserve">3GPP RAN1 NR Ad-Hoc#2 meeting, the following agreements were made regarding the contents of the group common PDCCH </w:t>
      </w:r>
      <w:r w:rsidR="00F75453" w:rsidRPr="00120297">
        <w:rPr>
          <w:rFonts w:eastAsia="MS Mincho"/>
        </w:rPr>
        <w:t>[1]</w:t>
      </w:r>
      <w:r w:rsidR="00F75453">
        <w:rPr>
          <w:rFonts w:eastAsia="MS Mincho"/>
        </w:rPr>
        <w:t>.</w:t>
      </w:r>
    </w:p>
    <w:p w14:paraId="72A927B9" w14:textId="77777777" w:rsidR="00F75453" w:rsidRDefault="00F75453" w:rsidP="00F75453">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5E65E442" w14:textId="77777777" w:rsidR="00F75453" w:rsidRPr="00EA3BCA" w:rsidRDefault="00F75453" w:rsidP="00F75453">
      <w:pPr>
        <w:numPr>
          <w:ilvl w:val="0"/>
          <w:numId w:val="48"/>
        </w:numPr>
        <w:autoSpaceDE/>
        <w:autoSpaceDN/>
        <w:adjustRightInd/>
        <w:snapToGrid/>
        <w:spacing w:after="0"/>
        <w:jc w:val="left"/>
        <w:rPr>
          <w:rFonts w:eastAsia="MS Mincho"/>
          <w:szCs w:val="20"/>
          <w:lang w:eastAsia="ja-JP"/>
        </w:rPr>
      </w:pPr>
      <w:r w:rsidRPr="00EA3BCA">
        <w:rPr>
          <w:rFonts w:eastAsia="MS Mincho"/>
          <w:szCs w:val="20"/>
          <w:lang w:eastAsia="ja-JP"/>
        </w:rPr>
        <w:t>In ‘Slot format related information’, ‘Empty’ is not indicated explicitly.</w:t>
      </w:r>
    </w:p>
    <w:p w14:paraId="05F2A227" w14:textId="77777777" w:rsidR="00F75453" w:rsidRPr="00EA3BCA" w:rsidRDefault="00F75453" w:rsidP="00F75453">
      <w:pPr>
        <w:numPr>
          <w:ilvl w:val="0"/>
          <w:numId w:val="48"/>
        </w:numPr>
        <w:autoSpaceDE/>
        <w:autoSpaceDN/>
        <w:adjustRightInd/>
        <w:snapToGrid/>
        <w:spacing w:after="0"/>
        <w:jc w:val="left"/>
        <w:rPr>
          <w:rFonts w:eastAsia="MS Mincho"/>
          <w:szCs w:val="20"/>
          <w:lang w:eastAsia="ja-JP"/>
        </w:rPr>
      </w:pPr>
      <w:r w:rsidRPr="00EA3BCA">
        <w:rPr>
          <w:rFonts w:eastAsia="MS Mincho"/>
          <w:szCs w:val="20"/>
          <w:lang w:eastAsia="ja-JP"/>
        </w:rPr>
        <w:t>Note: RAN1 specification ensures that UE(s) is/are aware of which resources can be for ‘gap for DL-UL switching’ and/or ‘gap’</w:t>
      </w:r>
    </w:p>
    <w:p w14:paraId="48437468" w14:textId="77777777" w:rsidR="00F75453" w:rsidRPr="00EA3BCA" w:rsidRDefault="00F75453" w:rsidP="00F75453">
      <w:pPr>
        <w:numPr>
          <w:ilvl w:val="0"/>
          <w:numId w:val="48"/>
        </w:numPr>
        <w:autoSpaceDE/>
        <w:autoSpaceDN/>
        <w:adjustRightInd/>
        <w:snapToGrid/>
        <w:spacing w:after="0"/>
        <w:jc w:val="left"/>
        <w:rPr>
          <w:rFonts w:eastAsia="MS Mincho"/>
          <w:szCs w:val="20"/>
          <w:lang w:eastAsia="ja-JP"/>
        </w:rPr>
      </w:pPr>
      <w:r w:rsidRPr="00EA3BCA">
        <w:rPr>
          <w:rFonts w:eastAsia="MS Mincho"/>
          <w:szCs w:val="20"/>
          <w:lang w:eastAsia="ja-JP"/>
        </w:rPr>
        <w:t>Note: RAN1 specification ensures that UE(s) is/are aware of which resources are for ‘CSI/interference measurement’.</w:t>
      </w:r>
    </w:p>
    <w:p w14:paraId="56256919" w14:textId="77777777" w:rsidR="00F75453" w:rsidRPr="00FC3853" w:rsidRDefault="00F75453" w:rsidP="00F75453">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743DB753" w14:textId="77777777" w:rsidR="00F75453" w:rsidRPr="00FC3853" w:rsidRDefault="00F75453" w:rsidP="00F75453">
      <w:pPr>
        <w:numPr>
          <w:ilvl w:val="0"/>
          <w:numId w:val="49"/>
        </w:numPr>
        <w:autoSpaceDE/>
        <w:autoSpaceDN/>
        <w:adjustRightInd/>
        <w:snapToGrid/>
        <w:spacing w:after="0"/>
        <w:jc w:val="left"/>
        <w:rPr>
          <w:rFonts w:eastAsia="MS Mincho"/>
          <w:szCs w:val="20"/>
          <w:lang w:eastAsia="ja-JP"/>
        </w:rPr>
      </w:pPr>
      <w:r w:rsidRPr="00FC3853">
        <w:rPr>
          <w:rFonts w:eastAsia="MS Mincho"/>
          <w:szCs w:val="20"/>
          <w:lang w:eastAsia="ja-JP"/>
        </w:rPr>
        <w:t>Prioritize discussion of SFI functionality of a group-common PDCCH.</w:t>
      </w:r>
    </w:p>
    <w:p w14:paraId="7EAEE3C9" w14:textId="77777777" w:rsidR="00F75453" w:rsidRPr="00FC3853" w:rsidRDefault="00F75453" w:rsidP="00F75453">
      <w:pPr>
        <w:numPr>
          <w:ilvl w:val="1"/>
          <w:numId w:val="49"/>
        </w:numPr>
        <w:autoSpaceDE/>
        <w:autoSpaceDN/>
        <w:adjustRightInd/>
        <w:snapToGrid/>
        <w:spacing w:after="0"/>
        <w:jc w:val="left"/>
        <w:rPr>
          <w:rFonts w:eastAsia="MS Mincho"/>
          <w:szCs w:val="20"/>
          <w:lang w:eastAsia="ja-JP"/>
        </w:rPr>
      </w:pPr>
      <w:r w:rsidRPr="00FC3853">
        <w:rPr>
          <w:rFonts w:eastAsia="MS Mincho"/>
          <w:szCs w:val="20"/>
          <w:lang w:eastAsia="ja-JP"/>
        </w:rPr>
        <w:t>Further work will be on group-common PDCCH carrying the SFI at least in August meeting.</w:t>
      </w:r>
    </w:p>
    <w:p w14:paraId="5FF55BF3" w14:textId="77777777" w:rsidR="004F0B86" w:rsidRPr="004917E8" w:rsidRDefault="004F0B86" w:rsidP="005D6354">
      <w:pPr>
        <w:widowControl w:val="0"/>
        <w:spacing w:before="120"/>
        <w:rPr>
          <w:lang w:eastAsia="zh-CN"/>
        </w:rPr>
      </w:pPr>
    </w:p>
    <w:p w14:paraId="22E17349" w14:textId="6C306938" w:rsidR="005D6354" w:rsidRPr="00005D67" w:rsidRDefault="00F75453" w:rsidP="005D6354">
      <w:pPr>
        <w:widowControl w:val="0"/>
        <w:spacing w:before="120"/>
        <w:rPr>
          <w:lang w:eastAsia="zh-CN"/>
        </w:rPr>
      </w:pPr>
      <w:r>
        <w:rPr>
          <w:rFonts w:eastAsia="MS Mincho"/>
        </w:rPr>
        <w:t xml:space="preserve">The SFI functionality of a group common is prioritized based on the agreements. </w:t>
      </w:r>
      <w:r w:rsidR="005D6354">
        <w:rPr>
          <w:rFonts w:eastAsia="MS Mincho" w:hint="eastAsia"/>
        </w:rPr>
        <w:t xml:space="preserve">In this </w:t>
      </w:r>
      <w:r w:rsidR="005D6354">
        <w:rPr>
          <w:rFonts w:eastAsia="MS Mincho"/>
        </w:rPr>
        <w:t xml:space="preserve">contribution, we present the discussion on </w:t>
      </w:r>
      <w:r>
        <w:rPr>
          <w:rFonts w:eastAsia="MS Mincho"/>
        </w:rPr>
        <w:t>SFI functionality</w:t>
      </w:r>
      <w:r w:rsidR="004837FA">
        <w:rPr>
          <w:rFonts w:eastAsia="MS Mincho"/>
        </w:rPr>
        <w:t>.</w:t>
      </w:r>
    </w:p>
    <w:p w14:paraId="3E1071E4" w14:textId="77777777" w:rsidR="005D6354" w:rsidRPr="009A7382" w:rsidRDefault="005D6354" w:rsidP="005D6354">
      <w:pPr>
        <w:pBdr>
          <w:bottom w:val="single" w:sz="12" w:space="1" w:color="auto"/>
        </w:pBdr>
        <w:rPr>
          <w:sz w:val="16"/>
          <w:szCs w:val="16"/>
          <w:lang w:eastAsia="zh-CN"/>
        </w:rPr>
      </w:pPr>
    </w:p>
    <w:p w14:paraId="17EDFE6A" w14:textId="06ED110F" w:rsidR="005D6354" w:rsidRDefault="00932594" w:rsidP="005D6354">
      <w:pPr>
        <w:pStyle w:val="1"/>
        <w:rPr>
          <w:lang w:eastAsia="zh-CN"/>
        </w:rPr>
      </w:pPr>
      <w:r>
        <w:rPr>
          <w:lang w:eastAsia="zh-CN"/>
        </w:rPr>
        <w:t>Discussion</w:t>
      </w:r>
    </w:p>
    <w:p w14:paraId="14762D05" w14:textId="77777777" w:rsidR="00790E23" w:rsidRDefault="00790E23" w:rsidP="00932594">
      <w:pPr>
        <w:rPr>
          <w:b/>
          <w:i/>
          <w:lang w:eastAsia="zh-CN"/>
        </w:rPr>
      </w:pPr>
    </w:p>
    <w:p w14:paraId="6FC75305" w14:textId="4B1BA179" w:rsidR="006C77EA" w:rsidRPr="00932594" w:rsidRDefault="00374D3E" w:rsidP="00932594">
      <w:pPr>
        <w:rPr>
          <w:b/>
          <w:i/>
          <w:u w:val="single"/>
          <w:lang w:eastAsia="zh-CN"/>
        </w:rPr>
      </w:pPr>
      <w:r>
        <w:rPr>
          <w:rFonts w:hint="eastAsia"/>
          <w:b/>
          <w:u w:val="single"/>
          <w:lang w:eastAsia="zh-CN"/>
        </w:rPr>
        <w:t>S</w:t>
      </w:r>
      <w:r>
        <w:rPr>
          <w:b/>
          <w:u w:val="single"/>
          <w:lang w:eastAsia="zh-CN"/>
        </w:rPr>
        <w:t>FI for a slot</w:t>
      </w:r>
    </w:p>
    <w:p w14:paraId="1F6BBB9F" w14:textId="38EE4A0C" w:rsidR="006C77EA" w:rsidRDefault="008E1D82" w:rsidP="009620FF">
      <w:pPr>
        <w:rPr>
          <w:lang w:eastAsia="zh-CN"/>
        </w:rPr>
      </w:pPr>
      <w:r w:rsidRPr="009620FF">
        <w:rPr>
          <w:lang w:eastAsia="zh-CN"/>
        </w:rPr>
        <w:t>NR supports at least semi-statically assigned DL/UL transmission direction as gNB operation</w:t>
      </w:r>
      <w:r w:rsidR="009620FF">
        <w:rPr>
          <w:lang w:eastAsia="zh-CN"/>
        </w:rPr>
        <w:t xml:space="preserve"> </w:t>
      </w:r>
      <w:r w:rsidR="00164C6F">
        <w:rPr>
          <w:lang w:eastAsia="zh-CN"/>
        </w:rPr>
        <w:t>[2</w:t>
      </w:r>
      <w:r w:rsidR="009620FF" w:rsidRPr="008923DD">
        <w:rPr>
          <w:lang w:eastAsia="zh-CN"/>
        </w:rPr>
        <w:t>]</w:t>
      </w:r>
      <w:r w:rsidR="009620FF">
        <w:rPr>
          <w:lang w:eastAsia="zh-CN"/>
        </w:rPr>
        <w:t xml:space="preserve">. </w:t>
      </w:r>
      <w:r w:rsidR="009620FF" w:rsidRPr="009620FF">
        <w:rPr>
          <w:lang w:eastAsia="zh-CN"/>
        </w:rPr>
        <w:t xml:space="preserve">The assigned DL/UL transmission direction can be signalled to UE by higher layer </w:t>
      </w:r>
      <w:r w:rsidR="009620FF">
        <w:rPr>
          <w:lang w:eastAsia="zh-CN"/>
        </w:rPr>
        <w:t>signaling. A semi-static DL/UL transmission direction design is beneficial for the co-existence between NR and LTE system</w:t>
      </w:r>
      <w:r w:rsidR="000F4727">
        <w:rPr>
          <w:lang w:eastAsia="zh-CN"/>
        </w:rPr>
        <w:t>s</w:t>
      </w:r>
      <w:r w:rsidR="009620FF">
        <w:rPr>
          <w:lang w:eastAsia="zh-CN"/>
        </w:rPr>
        <w:t xml:space="preserve">. However, the scheduling flexibility is limited and thus might leads to the degradation of the system performance. </w:t>
      </w:r>
      <w:r w:rsidR="00FD6774">
        <w:rPr>
          <w:lang w:eastAsia="zh-CN"/>
        </w:rPr>
        <w:t>I</w:t>
      </w:r>
      <w:r w:rsidR="009620FF">
        <w:rPr>
          <w:lang w:eastAsia="zh-CN"/>
        </w:rPr>
        <w:t>n this sense, a dynamic signaling</w:t>
      </w:r>
      <w:r w:rsidR="00FD6774">
        <w:rPr>
          <w:lang w:eastAsia="zh-CN"/>
        </w:rPr>
        <w:t xml:space="preserve"> such as the group common PDCCH</w:t>
      </w:r>
      <w:r w:rsidR="009620FF">
        <w:rPr>
          <w:lang w:eastAsia="zh-CN"/>
        </w:rPr>
        <w:t xml:space="preserve"> that could change the transmission direction can be considered to allow a more flexible design. </w:t>
      </w:r>
    </w:p>
    <w:p w14:paraId="38823CB3" w14:textId="42EEF30A" w:rsidR="009E55E3" w:rsidRDefault="00284484" w:rsidP="00733268">
      <w:pPr>
        <w:rPr>
          <w:lang w:eastAsia="zh-CN"/>
        </w:rPr>
      </w:pPr>
      <w:r>
        <w:rPr>
          <w:lang w:eastAsia="zh-CN"/>
        </w:rPr>
        <w:t>Regarding the indication of the slot format, UE should be able to derive the transmission directions for each symbols in a slot.</w:t>
      </w:r>
      <w:r w:rsidR="009E55E3">
        <w:rPr>
          <w:lang w:eastAsia="zh-CN"/>
        </w:rPr>
        <w:t xml:space="preserve"> Two alternatives can be considere</w:t>
      </w:r>
      <w:r w:rsidR="00733268">
        <w:rPr>
          <w:lang w:eastAsia="zh-CN"/>
        </w:rPr>
        <w:t>d to determine the slot formats. One a</w:t>
      </w:r>
      <w:r w:rsidR="009E55E3">
        <w:rPr>
          <w:rFonts w:hint="eastAsia"/>
          <w:lang w:eastAsia="zh-CN"/>
        </w:rPr>
        <w:t>lternative</w:t>
      </w:r>
      <w:r w:rsidR="00AE5AE1">
        <w:rPr>
          <w:lang w:eastAsia="zh-CN"/>
        </w:rPr>
        <w:t xml:space="preserve"> (Alt 1)</w:t>
      </w:r>
      <w:r w:rsidR="009E55E3">
        <w:rPr>
          <w:rFonts w:hint="eastAsia"/>
          <w:lang w:eastAsia="zh-CN"/>
        </w:rPr>
        <w:t xml:space="preserve"> </w:t>
      </w:r>
      <w:r w:rsidR="00733268">
        <w:rPr>
          <w:lang w:eastAsia="zh-CN"/>
        </w:rPr>
        <w:t xml:space="preserve">is to use </w:t>
      </w:r>
      <w:r w:rsidR="009E55E3">
        <w:rPr>
          <w:lang w:eastAsia="zh-CN"/>
        </w:rPr>
        <w:t xml:space="preserve">a bitmapped </w:t>
      </w:r>
      <w:r w:rsidR="00733268">
        <w:rPr>
          <w:lang w:eastAsia="zh-CN"/>
        </w:rPr>
        <w:t>way</w:t>
      </w:r>
      <w:r w:rsidR="009E55E3">
        <w:rPr>
          <w:lang w:eastAsia="zh-CN"/>
        </w:rPr>
        <w:t xml:space="preserve"> for indicating the transmission direction for each symbol. The total payload needed scales with the number of possible states and symbols</w:t>
      </w:r>
      <w:r w:rsidR="00733268">
        <w:rPr>
          <w:lang w:eastAsia="zh-CN"/>
        </w:rPr>
        <w:t>. For example, if for each symbol, pos</w:t>
      </w:r>
      <w:r w:rsidR="002E36C0">
        <w:rPr>
          <w:lang w:eastAsia="zh-CN"/>
        </w:rPr>
        <w:t xml:space="preserve">sibly states are “DL”, “UL” </w:t>
      </w:r>
      <w:r w:rsidR="00733268">
        <w:rPr>
          <w:lang w:eastAsia="zh-CN"/>
        </w:rPr>
        <w:t>or “unknown”. The number of symbols in a slot for a given numerology is 7. Then totally 14 bits are needed to indicate all the possible states</w:t>
      </w:r>
      <w:r w:rsidR="00546B70">
        <w:rPr>
          <w:lang w:eastAsia="zh-CN"/>
        </w:rPr>
        <w:t xml:space="preserve"> for one slot</w:t>
      </w:r>
      <w:r w:rsidR="00733268">
        <w:rPr>
          <w:lang w:eastAsia="zh-CN"/>
        </w:rPr>
        <w:t>.</w:t>
      </w:r>
      <w:r w:rsidR="00733268">
        <w:rPr>
          <w:rFonts w:hint="eastAsia"/>
          <w:lang w:eastAsia="zh-CN"/>
        </w:rPr>
        <w:t xml:space="preserve"> </w:t>
      </w:r>
      <w:r w:rsidR="00733268">
        <w:rPr>
          <w:lang w:eastAsia="zh-CN"/>
        </w:rPr>
        <w:t>The other one alternative</w:t>
      </w:r>
      <w:r w:rsidR="00AE5AE1">
        <w:rPr>
          <w:lang w:eastAsia="zh-CN"/>
        </w:rPr>
        <w:t xml:space="preserve"> (Alt 2)</w:t>
      </w:r>
      <w:r w:rsidR="00733268">
        <w:rPr>
          <w:lang w:eastAsia="zh-CN"/>
        </w:rPr>
        <w:t xml:space="preserve"> is to define some pattern</w:t>
      </w:r>
      <w:r w:rsidR="00F5167B">
        <w:rPr>
          <w:lang w:eastAsia="zh-CN"/>
        </w:rPr>
        <w:t>s</w:t>
      </w:r>
      <w:r w:rsidR="00733268">
        <w:rPr>
          <w:lang w:eastAsia="zh-CN"/>
        </w:rPr>
        <w:t xml:space="preserve"> describing the possible states</w:t>
      </w:r>
      <w:r w:rsidR="00B5471F">
        <w:rPr>
          <w:lang w:eastAsia="zh-CN"/>
        </w:rPr>
        <w:t xml:space="preserve"> that is commonly used</w:t>
      </w:r>
      <w:r w:rsidR="00733268">
        <w:rPr>
          <w:lang w:eastAsia="zh-CN"/>
        </w:rPr>
        <w:t xml:space="preserve"> </w:t>
      </w:r>
      <w:r w:rsidR="00AE5AE1">
        <w:rPr>
          <w:lang w:eastAsia="zh-CN"/>
        </w:rPr>
        <w:t xml:space="preserve">for each symbols. Then the indication of the used pattern is included in the group common PDCCH. Obviously, alternative 2 </w:t>
      </w:r>
      <w:r w:rsidR="00B5471F">
        <w:rPr>
          <w:lang w:eastAsia="zh-CN"/>
        </w:rPr>
        <w:t>can save the signaling overhead. It is preferred to indicate one of the configured pattern in the group common PDCCH</w:t>
      </w:r>
      <w:r w:rsidR="00B12017">
        <w:rPr>
          <w:lang w:eastAsia="zh-CN"/>
        </w:rPr>
        <w:t>.</w:t>
      </w:r>
    </w:p>
    <w:p w14:paraId="5FF83F1E" w14:textId="0AB77907" w:rsidR="00B12017" w:rsidRPr="00216217" w:rsidRDefault="00C802B4" w:rsidP="00733268">
      <w:pPr>
        <w:rPr>
          <w:b/>
          <w:i/>
          <w:lang w:eastAsia="zh-CN"/>
        </w:rPr>
      </w:pPr>
      <w:r>
        <w:rPr>
          <w:b/>
          <w:i/>
          <w:lang w:eastAsia="zh-CN"/>
        </w:rPr>
        <w:lastRenderedPageBreak/>
        <w:t>Proposal 1</w:t>
      </w:r>
      <w:r w:rsidR="00B12017" w:rsidRPr="00216217">
        <w:rPr>
          <w:b/>
          <w:i/>
          <w:lang w:eastAsia="zh-CN"/>
        </w:rPr>
        <w:t xml:space="preserve">: The group common PDCCH indicate one of the configured </w:t>
      </w:r>
      <w:r w:rsidR="00A02CAD" w:rsidRPr="00216217">
        <w:rPr>
          <w:b/>
          <w:i/>
          <w:lang w:eastAsia="zh-CN"/>
        </w:rPr>
        <w:t>pattern</w:t>
      </w:r>
      <w:r w:rsidR="00F5167B">
        <w:rPr>
          <w:b/>
          <w:i/>
          <w:lang w:eastAsia="zh-CN"/>
        </w:rPr>
        <w:t>s</w:t>
      </w:r>
      <w:r w:rsidR="00A02CAD" w:rsidRPr="00216217">
        <w:rPr>
          <w:b/>
          <w:i/>
          <w:lang w:eastAsia="zh-CN"/>
        </w:rPr>
        <w:t xml:space="preserve"> for each slot</w:t>
      </w:r>
    </w:p>
    <w:p w14:paraId="7C7BEE81" w14:textId="77777777" w:rsidR="003B0D20" w:rsidRDefault="003B0D20" w:rsidP="003B0D20">
      <w:pPr>
        <w:rPr>
          <w:b/>
          <w:u w:val="single"/>
          <w:lang w:eastAsia="zh-CN"/>
        </w:rPr>
      </w:pPr>
    </w:p>
    <w:p w14:paraId="1D85C5D9" w14:textId="73530CB2" w:rsidR="00284484" w:rsidRPr="003B0D20" w:rsidRDefault="00374D3E" w:rsidP="009620FF">
      <w:pPr>
        <w:rPr>
          <w:b/>
          <w:u w:val="single"/>
          <w:lang w:eastAsia="zh-CN"/>
        </w:rPr>
      </w:pPr>
      <w:r>
        <w:rPr>
          <w:b/>
          <w:u w:val="single"/>
          <w:lang w:eastAsia="zh-CN"/>
        </w:rPr>
        <w:t>SFI for</w:t>
      </w:r>
      <w:r w:rsidR="003B0D20">
        <w:rPr>
          <w:rFonts w:hint="eastAsia"/>
          <w:b/>
          <w:u w:val="single"/>
          <w:lang w:eastAsia="zh-CN"/>
        </w:rPr>
        <w:t xml:space="preserve"> multiple slots</w:t>
      </w:r>
    </w:p>
    <w:p w14:paraId="343B8062" w14:textId="77777777" w:rsidR="000F4ACA" w:rsidRDefault="001F3A2C" w:rsidP="003B0D20">
      <w:pPr>
        <w:rPr>
          <w:lang w:eastAsia="zh-CN"/>
        </w:rPr>
      </w:pPr>
      <w:r>
        <w:rPr>
          <w:lang w:eastAsia="zh-CN"/>
        </w:rPr>
        <w:t>I</w:t>
      </w:r>
      <w:r>
        <w:rPr>
          <w:rFonts w:hint="eastAsia"/>
          <w:lang w:eastAsia="zh-CN"/>
        </w:rPr>
        <w:t xml:space="preserve">t </w:t>
      </w:r>
      <w:r>
        <w:rPr>
          <w:lang w:eastAsia="zh-CN"/>
        </w:rPr>
        <w:t xml:space="preserve">is agreed that the </w:t>
      </w:r>
      <w:r w:rsidRPr="00347BD4">
        <w:rPr>
          <w:rFonts w:eastAsia="MS Mincho"/>
          <w:szCs w:val="20"/>
          <w:lang w:eastAsia="ja-JP"/>
        </w:rPr>
        <w:t>SFI transmitted in a group-common PDCCH can indicate the slot format related information for one or more slots</w:t>
      </w:r>
      <w:r>
        <w:rPr>
          <w:rFonts w:eastAsia="MS Mincho"/>
          <w:szCs w:val="20"/>
          <w:lang w:eastAsia="ja-JP"/>
        </w:rPr>
        <w:t>. If the slot formats for indicated slots can be changed dynamically, the payload of the group common PDCCH will scaled with the number of the indicated slots.</w:t>
      </w:r>
      <w:r w:rsidR="00526594">
        <w:rPr>
          <w:rFonts w:eastAsia="MS Mincho"/>
          <w:szCs w:val="20"/>
          <w:lang w:eastAsia="ja-JP"/>
        </w:rPr>
        <w:t xml:space="preserve"> Meanwhile, </w:t>
      </w:r>
      <w:r w:rsidR="00526594">
        <w:rPr>
          <w:lang w:eastAsia="zh-CN"/>
        </w:rPr>
        <w:t>UE should be able to know which slots are indicated</w:t>
      </w:r>
      <w:r w:rsidR="003B0D20">
        <w:rPr>
          <w:lang w:eastAsia="zh-CN"/>
        </w:rPr>
        <w:t xml:space="preserve">. </w:t>
      </w:r>
      <w:r w:rsidR="000F4ACA">
        <w:rPr>
          <w:lang w:eastAsia="zh-CN"/>
        </w:rPr>
        <w:t>The following two alternatives can be considered,</w:t>
      </w:r>
    </w:p>
    <w:p w14:paraId="3B262E04" w14:textId="025AC441" w:rsidR="000F4ACA" w:rsidRDefault="000F4ACA" w:rsidP="000F4ACA">
      <w:pPr>
        <w:pStyle w:val="af"/>
        <w:numPr>
          <w:ilvl w:val="0"/>
          <w:numId w:val="50"/>
        </w:numPr>
        <w:ind w:firstLineChars="0"/>
        <w:rPr>
          <w:lang w:eastAsia="zh-CN"/>
        </w:rPr>
      </w:pPr>
      <w:r>
        <w:rPr>
          <w:lang w:eastAsia="zh-CN"/>
        </w:rPr>
        <w:t xml:space="preserve">Alt 1: </w:t>
      </w:r>
      <w:r w:rsidR="003B0D20">
        <w:rPr>
          <w:lang w:eastAsia="zh-CN"/>
        </w:rPr>
        <w:t xml:space="preserve">include the slot format and </w:t>
      </w:r>
      <w:r w:rsidR="00373976">
        <w:rPr>
          <w:lang w:eastAsia="zh-CN"/>
        </w:rPr>
        <w:t>corresponding slot</w:t>
      </w:r>
      <w:r w:rsidR="00F5167B">
        <w:rPr>
          <w:lang w:eastAsia="zh-CN"/>
        </w:rPr>
        <w:t xml:space="preserve"> </w:t>
      </w:r>
      <w:r w:rsidR="00A24475">
        <w:rPr>
          <w:rFonts w:hint="eastAsia"/>
          <w:lang w:eastAsia="zh-CN"/>
        </w:rPr>
        <w:t>indication</w:t>
      </w:r>
      <w:r w:rsidR="00A24475">
        <w:rPr>
          <w:lang w:eastAsia="zh-CN"/>
        </w:rPr>
        <w:t xml:space="preserve"> </w:t>
      </w:r>
      <w:r w:rsidR="00373976">
        <w:rPr>
          <w:lang w:eastAsia="zh-CN"/>
        </w:rPr>
        <w:t xml:space="preserve">in the group common PDCCH. </w:t>
      </w:r>
    </w:p>
    <w:p w14:paraId="0242BF1D" w14:textId="2E61CA0A" w:rsidR="000F4ACA" w:rsidRDefault="000F4ACA" w:rsidP="000F4ACA">
      <w:pPr>
        <w:pStyle w:val="af"/>
        <w:ind w:left="360" w:firstLineChars="0" w:firstLine="0"/>
        <w:rPr>
          <w:lang w:eastAsia="zh-CN"/>
        </w:rPr>
      </w:pPr>
      <w:r>
        <w:rPr>
          <w:lang w:eastAsia="zh-CN"/>
        </w:rPr>
        <w:t>For Alt 1, the slot format indication can be quite flexible.</w:t>
      </w:r>
      <w:r w:rsidR="00C802B4">
        <w:rPr>
          <w:lang w:eastAsia="zh-CN"/>
        </w:rPr>
        <w:t xml:space="preserve"> However, the overhead is increased. In order to alleviate the UE’s detection effort, the number of slots that can be indicated in a GC-PDCCH should be fixed.</w:t>
      </w:r>
    </w:p>
    <w:p w14:paraId="00489DF3" w14:textId="52AAEC94" w:rsidR="000F4ACA" w:rsidRDefault="000F4ACA" w:rsidP="000F4ACA">
      <w:pPr>
        <w:pStyle w:val="af"/>
        <w:numPr>
          <w:ilvl w:val="0"/>
          <w:numId w:val="50"/>
        </w:numPr>
        <w:ind w:firstLineChars="0"/>
        <w:rPr>
          <w:lang w:eastAsia="zh-CN"/>
        </w:rPr>
      </w:pPr>
      <w:r>
        <w:rPr>
          <w:lang w:eastAsia="zh-CN"/>
        </w:rPr>
        <w:t>Alt 2: define a mapping rule between the SFI bits and the target slots</w:t>
      </w:r>
    </w:p>
    <w:p w14:paraId="4C530333" w14:textId="58968618" w:rsidR="00526594" w:rsidRDefault="00C802B4" w:rsidP="00C802B4">
      <w:pPr>
        <w:pStyle w:val="af"/>
        <w:ind w:left="360" w:firstLineChars="0" w:firstLine="0"/>
        <w:rPr>
          <w:lang w:eastAsia="zh-CN"/>
        </w:rPr>
      </w:pPr>
      <w:r>
        <w:rPr>
          <w:lang w:eastAsia="zh-CN"/>
        </w:rPr>
        <w:t>For Alt 2, instead of explicitly indicating the target slot, a mapping rule between the SFI bits and the target slots can be predefined</w:t>
      </w:r>
      <w:r w:rsidR="00373976">
        <w:rPr>
          <w:lang w:eastAsia="zh-CN"/>
        </w:rPr>
        <w:t>, then UE can understand which slots are indicated in the group common PDCCH using the predefined or high layer signaling configured mapping rule.</w:t>
      </w:r>
    </w:p>
    <w:p w14:paraId="7E4D0095" w14:textId="21DD90BD" w:rsidR="00790E23" w:rsidRPr="00790E23" w:rsidRDefault="00790E23" w:rsidP="003B0D20">
      <w:pPr>
        <w:rPr>
          <w:b/>
          <w:i/>
          <w:lang w:eastAsia="zh-CN"/>
        </w:rPr>
      </w:pPr>
      <w:r w:rsidRPr="00790E23">
        <w:rPr>
          <w:b/>
          <w:i/>
          <w:lang w:eastAsia="zh-CN"/>
        </w:rPr>
        <w:t>P</w:t>
      </w:r>
      <w:r w:rsidR="00C802B4">
        <w:rPr>
          <w:b/>
          <w:i/>
          <w:lang w:eastAsia="zh-CN"/>
        </w:rPr>
        <w:t>roposal 2</w:t>
      </w:r>
      <w:r w:rsidRPr="00790E23">
        <w:rPr>
          <w:b/>
          <w:i/>
          <w:lang w:eastAsia="zh-CN"/>
        </w:rPr>
        <w:t xml:space="preserve">: </w:t>
      </w:r>
      <w:r>
        <w:rPr>
          <w:b/>
          <w:i/>
          <w:lang w:eastAsia="zh-CN"/>
        </w:rPr>
        <w:t>H</w:t>
      </w:r>
      <w:r w:rsidRPr="003628BA">
        <w:rPr>
          <w:b/>
          <w:i/>
          <w:lang w:eastAsia="zh-CN"/>
        </w:rPr>
        <w:t xml:space="preserve">igh layer signaling or predefined rule is needed to ensure UEs understand the </w:t>
      </w:r>
      <w:r>
        <w:rPr>
          <w:b/>
          <w:i/>
          <w:lang w:eastAsia="zh-CN"/>
        </w:rPr>
        <w:t>slots</w:t>
      </w:r>
      <w:r w:rsidRPr="003628BA">
        <w:rPr>
          <w:b/>
          <w:i/>
          <w:lang w:eastAsia="zh-CN"/>
        </w:rPr>
        <w:t xml:space="preserve"> that are indicated</w:t>
      </w:r>
    </w:p>
    <w:p w14:paraId="65D82A02" w14:textId="77777777" w:rsidR="00AE0672" w:rsidRDefault="00AE0672" w:rsidP="003B0D20">
      <w:pPr>
        <w:rPr>
          <w:lang w:eastAsia="zh-CN"/>
        </w:rPr>
      </w:pPr>
    </w:p>
    <w:p w14:paraId="1DDC10EE" w14:textId="4C2F0E27" w:rsidR="004C73E8" w:rsidRPr="004C73E8" w:rsidRDefault="00374D3E" w:rsidP="004C73E8">
      <w:pPr>
        <w:rPr>
          <w:b/>
          <w:i/>
          <w:u w:val="single"/>
          <w:lang w:eastAsia="zh-CN"/>
        </w:rPr>
      </w:pPr>
      <w:r>
        <w:rPr>
          <w:b/>
          <w:u w:val="single"/>
          <w:lang w:eastAsia="zh-CN"/>
        </w:rPr>
        <w:t>SFI for</w:t>
      </w:r>
      <w:r w:rsidR="004C73E8">
        <w:rPr>
          <w:b/>
          <w:u w:val="single"/>
          <w:lang w:eastAsia="zh-CN"/>
        </w:rPr>
        <w:t xml:space="preserve"> multiple bandwidth parts</w:t>
      </w:r>
    </w:p>
    <w:p w14:paraId="0CD77B11" w14:textId="77777777" w:rsidR="00814F93" w:rsidRDefault="006C1798" w:rsidP="009620FF">
      <w:pPr>
        <w:rPr>
          <w:lang w:eastAsia="zh-CN"/>
        </w:rPr>
      </w:pPr>
      <w:r>
        <w:rPr>
          <w:lang w:eastAsia="zh-CN"/>
        </w:rPr>
        <w:t xml:space="preserve">Larger bandwidth compared </w:t>
      </w:r>
      <w:r w:rsidR="002F481F">
        <w:rPr>
          <w:lang w:eastAsia="zh-CN"/>
        </w:rPr>
        <w:t>to</w:t>
      </w:r>
      <w:r>
        <w:rPr>
          <w:lang w:eastAsia="zh-CN"/>
        </w:rPr>
        <w:t xml:space="preserve"> that for LTE system is supported for 5G NR system. </w:t>
      </w:r>
      <w:r w:rsidRPr="007D4327">
        <w:rPr>
          <w:rFonts w:eastAsia="MS Mincho"/>
          <w:szCs w:val="20"/>
          <w:lang w:eastAsia="ja-JP"/>
        </w:rPr>
        <w:t>For a single carrier WB UE, multiple active bandwidth parts with diffe</w:t>
      </w:r>
      <w:r>
        <w:rPr>
          <w:rFonts w:eastAsia="MS Mincho"/>
          <w:szCs w:val="20"/>
          <w:lang w:eastAsia="ja-JP"/>
        </w:rPr>
        <w:t xml:space="preserve">rent numerologies are </w:t>
      </w:r>
      <w:r>
        <w:rPr>
          <w:rFonts w:eastAsia="MS Mincho" w:hint="eastAsia"/>
          <w:szCs w:val="20"/>
          <w:lang w:eastAsia="ja-JP"/>
        </w:rPr>
        <w:t>configured</w:t>
      </w:r>
      <w:r w:rsidRPr="007D4327">
        <w:rPr>
          <w:rFonts w:eastAsia="MS Mincho"/>
          <w:szCs w:val="20"/>
          <w:lang w:eastAsia="ja-JP"/>
        </w:rPr>
        <w:t xml:space="preserve"> for a UE simultaneously</w:t>
      </w:r>
      <w:r>
        <w:rPr>
          <w:lang w:eastAsia="zh-CN"/>
        </w:rPr>
        <w:t xml:space="preserve">. </w:t>
      </w:r>
      <w:r w:rsidR="002F481F">
        <w:rPr>
          <w:lang w:eastAsia="zh-CN"/>
        </w:rPr>
        <w:t xml:space="preserve">The UE should be allowed to monitor more than one group common PDCCHs in a slot, as the slot structures for different bandwidth parts are </w:t>
      </w:r>
      <w:r w:rsidR="002F481F">
        <w:rPr>
          <w:rFonts w:hint="eastAsia"/>
          <w:lang w:eastAsia="zh-CN"/>
        </w:rPr>
        <w:t>different</w:t>
      </w:r>
      <w:r w:rsidR="002F481F">
        <w:rPr>
          <w:lang w:eastAsia="zh-CN"/>
        </w:rPr>
        <w:t>.</w:t>
      </w:r>
    </w:p>
    <w:p w14:paraId="6B748366" w14:textId="57389338" w:rsidR="006C1798" w:rsidRDefault="002F481F" w:rsidP="009620FF">
      <w:pPr>
        <w:rPr>
          <w:lang w:eastAsia="zh-CN"/>
        </w:rPr>
      </w:pPr>
      <w:r>
        <w:rPr>
          <w:lang w:eastAsia="zh-CN"/>
        </w:rPr>
        <w:t xml:space="preserve"> The GC-PDCCH is likely to be located in a common search space. If for each configured bandwidth part, a common search space is configured for a UE, then it is nature to acquire the SFI in each configured bandwidth part if needed. </w:t>
      </w:r>
      <w:r w:rsidR="00DA0708">
        <w:rPr>
          <w:lang w:eastAsia="zh-CN"/>
        </w:rPr>
        <w:t>For the case that the common search space is not defined in some configured bandwidth part, if the UE need to get the slot format information for the configured bandwidth part without GC-PDCCH transmission,</w:t>
      </w:r>
      <w:r w:rsidR="007F0752">
        <w:rPr>
          <w:lang w:eastAsia="zh-CN"/>
        </w:rPr>
        <w:t xml:space="preserve"> then the SFI for this bandwidth part should be indicated in the GC-PDCCH transmitted in another bandwidth part. Note that the indication can be done via an explicit or implicit way. For the explicit way, the SFI for other bandwidth part is indicated explicitly in the GC-PDCCH. For the implicit way, a mapping r</w:t>
      </w:r>
      <w:r w:rsidR="003D4F47">
        <w:rPr>
          <w:lang w:eastAsia="zh-CN"/>
        </w:rPr>
        <w:t>ule between different numerologies</w:t>
      </w:r>
      <w:r w:rsidR="007F0752">
        <w:rPr>
          <w:lang w:eastAsia="zh-CN"/>
        </w:rPr>
        <w:t xml:space="preserve"> can be defined as illustrated in Fig 1.</w:t>
      </w:r>
    </w:p>
    <w:p w14:paraId="6C502C4C" w14:textId="45DBB754" w:rsidR="00222D3E" w:rsidRDefault="00222D3E" w:rsidP="00222D3E">
      <w:pPr>
        <w:jc w:val="center"/>
        <w:rPr>
          <w:lang w:eastAsia="zh-CN"/>
        </w:rPr>
      </w:pPr>
      <w:r>
        <w:rPr>
          <w:noProof/>
          <w:lang w:eastAsia="zh-CN"/>
        </w:rPr>
        <w:drawing>
          <wp:inline distT="0" distB="0" distL="0" distR="0" wp14:anchorId="42FA80D5" wp14:editId="57556D83">
            <wp:extent cx="4369242" cy="148463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1126" cy="1495469"/>
                    </a:xfrm>
                    <a:prstGeom prst="rect">
                      <a:avLst/>
                    </a:prstGeom>
                    <a:noFill/>
                  </pic:spPr>
                </pic:pic>
              </a:graphicData>
            </a:graphic>
          </wp:inline>
        </w:drawing>
      </w:r>
    </w:p>
    <w:p w14:paraId="03571DE0" w14:textId="3B8E3EFF" w:rsidR="00222D3E" w:rsidRDefault="00222D3E" w:rsidP="00222D3E">
      <w:pPr>
        <w:jc w:val="center"/>
        <w:rPr>
          <w:lang w:eastAsia="zh-CN"/>
        </w:rPr>
      </w:pPr>
      <w:r>
        <w:rPr>
          <w:rFonts w:hint="eastAsia"/>
          <w:lang w:eastAsia="zh-CN"/>
        </w:rPr>
        <w:t>Fig 1: Example of the implicit indication</w:t>
      </w:r>
    </w:p>
    <w:p w14:paraId="31A6205B" w14:textId="77777777" w:rsidR="00995675" w:rsidRDefault="00995675" w:rsidP="009620FF">
      <w:pPr>
        <w:rPr>
          <w:lang w:eastAsia="zh-CN"/>
        </w:rPr>
      </w:pPr>
    </w:p>
    <w:p w14:paraId="52A59269" w14:textId="383DF207" w:rsidR="001966DB" w:rsidRDefault="00F30E5B" w:rsidP="00A314D9">
      <w:pPr>
        <w:widowControl w:val="0"/>
        <w:pBdr>
          <w:bottom w:val="single" w:sz="12" w:space="1" w:color="auto"/>
        </w:pBdr>
        <w:rPr>
          <w:b/>
          <w:i/>
          <w:color w:val="000000"/>
          <w:lang w:eastAsia="zh-CN"/>
        </w:rPr>
      </w:pPr>
      <w:r>
        <w:rPr>
          <w:rFonts w:hint="eastAsia"/>
          <w:b/>
          <w:i/>
          <w:color w:val="000000"/>
          <w:lang w:eastAsia="zh-CN"/>
        </w:rPr>
        <w:t>Proposal 3</w:t>
      </w:r>
      <w:r w:rsidR="001966DB" w:rsidRPr="003628BA">
        <w:rPr>
          <w:rFonts w:hint="eastAsia"/>
          <w:b/>
          <w:i/>
          <w:color w:val="000000"/>
          <w:lang w:eastAsia="zh-CN"/>
        </w:rPr>
        <w:t xml:space="preserve">: </w:t>
      </w:r>
      <w:r w:rsidR="00A10E1B">
        <w:rPr>
          <w:b/>
          <w:i/>
          <w:color w:val="000000"/>
          <w:lang w:eastAsia="zh-CN"/>
        </w:rPr>
        <w:t>UE should be allowed to monitor more than one group common PDCCH</w:t>
      </w:r>
      <w:r w:rsidR="0070516E">
        <w:rPr>
          <w:b/>
          <w:i/>
          <w:color w:val="000000"/>
          <w:lang w:eastAsia="zh-CN"/>
        </w:rPr>
        <w:t xml:space="preserve"> in one slot</w:t>
      </w:r>
      <w:r w:rsidR="00A10E1B">
        <w:rPr>
          <w:b/>
          <w:i/>
          <w:color w:val="000000"/>
          <w:lang w:eastAsia="zh-CN"/>
        </w:rPr>
        <w:t xml:space="preserve"> depending on UE’s capability.</w:t>
      </w:r>
    </w:p>
    <w:p w14:paraId="594246D3" w14:textId="4754467C" w:rsidR="00836FFF" w:rsidRPr="003628BA" w:rsidRDefault="00836FFF" w:rsidP="00A314D9">
      <w:pPr>
        <w:widowControl w:val="0"/>
        <w:pBdr>
          <w:bottom w:val="single" w:sz="12" w:space="1" w:color="auto"/>
        </w:pBdr>
        <w:rPr>
          <w:b/>
          <w:i/>
          <w:color w:val="000000"/>
          <w:lang w:eastAsia="zh-CN"/>
        </w:rPr>
      </w:pPr>
      <w:r>
        <w:rPr>
          <w:b/>
          <w:i/>
          <w:color w:val="000000"/>
          <w:lang w:eastAsia="zh-CN"/>
        </w:rPr>
        <w:t>Proposal 4: FFS how to indicate the slot format for the bandwidth part without configured GC-PDCCH transmission.</w:t>
      </w:r>
    </w:p>
    <w:p w14:paraId="3362384D" w14:textId="77777777" w:rsidR="00F74CF4" w:rsidRPr="00086E01" w:rsidRDefault="00F74CF4" w:rsidP="005D6354">
      <w:pPr>
        <w:pBdr>
          <w:bottom w:val="single" w:sz="12" w:space="1" w:color="auto"/>
        </w:pBdr>
        <w:rPr>
          <w:color w:val="000000"/>
          <w:lang w:eastAsia="zh-CN"/>
        </w:rPr>
      </w:pPr>
    </w:p>
    <w:p w14:paraId="1641D776" w14:textId="77777777" w:rsidR="005D6354" w:rsidRDefault="005D6354" w:rsidP="005D6354">
      <w:pPr>
        <w:pStyle w:val="1"/>
        <w:rPr>
          <w:kern w:val="2"/>
          <w:lang w:eastAsia="zh-CN"/>
        </w:rPr>
      </w:pPr>
      <w:r>
        <w:rPr>
          <w:kern w:val="2"/>
          <w:lang w:eastAsia="zh-CN"/>
        </w:rPr>
        <w:t>Conclusions</w:t>
      </w:r>
    </w:p>
    <w:p w14:paraId="76F37E50" w14:textId="7D8B98F3" w:rsidR="005D6354" w:rsidRDefault="005D6354" w:rsidP="005D6354">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F54B59">
        <w:rPr>
          <w:rFonts w:eastAsia="MS Mincho"/>
        </w:rPr>
        <w:t>contents</w:t>
      </w:r>
      <w:r w:rsidR="00493141">
        <w:rPr>
          <w:rFonts w:eastAsia="MS Mincho"/>
        </w:rPr>
        <w:t xml:space="preserve"> of the group common PDCCH</w:t>
      </w:r>
      <w:r>
        <w:rPr>
          <w:szCs w:val="24"/>
          <w:lang w:eastAsia="zh-CN"/>
        </w:rPr>
        <w:t>. Based on our analysis, we have the following proposals:</w:t>
      </w:r>
    </w:p>
    <w:p w14:paraId="38A53268" w14:textId="77777777" w:rsidR="0043037D" w:rsidRPr="00216217" w:rsidRDefault="0043037D" w:rsidP="0043037D">
      <w:pPr>
        <w:rPr>
          <w:b/>
          <w:i/>
          <w:lang w:eastAsia="zh-CN"/>
        </w:rPr>
      </w:pPr>
      <w:r>
        <w:rPr>
          <w:b/>
          <w:i/>
          <w:lang w:eastAsia="zh-CN"/>
        </w:rPr>
        <w:t>Proposal 1</w:t>
      </w:r>
      <w:r w:rsidRPr="00216217">
        <w:rPr>
          <w:b/>
          <w:i/>
          <w:lang w:eastAsia="zh-CN"/>
        </w:rPr>
        <w:t>: The group common PDCCH indicate one of the configured pattern</w:t>
      </w:r>
      <w:r>
        <w:rPr>
          <w:b/>
          <w:i/>
          <w:lang w:eastAsia="zh-CN"/>
        </w:rPr>
        <w:t>s</w:t>
      </w:r>
      <w:r w:rsidRPr="00216217">
        <w:rPr>
          <w:b/>
          <w:i/>
          <w:lang w:eastAsia="zh-CN"/>
        </w:rPr>
        <w:t xml:space="preserve"> for each slot</w:t>
      </w:r>
    </w:p>
    <w:p w14:paraId="7C007569" w14:textId="5270A2A0" w:rsidR="0043037D" w:rsidRPr="00652F1A" w:rsidRDefault="0043037D" w:rsidP="0043037D">
      <w:pPr>
        <w:rPr>
          <w:b/>
          <w:i/>
          <w:lang w:eastAsia="zh-CN"/>
        </w:rPr>
      </w:pPr>
      <w:r w:rsidRPr="00790E23">
        <w:rPr>
          <w:b/>
          <w:i/>
          <w:lang w:eastAsia="zh-CN"/>
        </w:rPr>
        <w:t>P</w:t>
      </w:r>
      <w:r>
        <w:rPr>
          <w:b/>
          <w:i/>
          <w:lang w:eastAsia="zh-CN"/>
        </w:rPr>
        <w:t>roposal 2</w:t>
      </w:r>
      <w:r w:rsidRPr="00790E23">
        <w:rPr>
          <w:b/>
          <w:i/>
          <w:lang w:eastAsia="zh-CN"/>
        </w:rPr>
        <w:t xml:space="preserve">: </w:t>
      </w:r>
      <w:r>
        <w:rPr>
          <w:b/>
          <w:i/>
          <w:lang w:eastAsia="zh-CN"/>
        </w:rPr>
        <w:t>H</w:t>
      </w:r>
      <w:r w:rsidRPr="003628BA">
        <w:rPr>
          <w:b/>
          <w:i/>
          <w:lang w:eastAsia="zh-CN"/>
        </w:rPr>
        <w:t xml:space="preserve">igh layer signaling or predefined rule is needed to ensure UEs understand the </w:t>
      </w:r>
      <w:r>
        <w:rPr>
          <w:b/>
          <w:i/>
          <w:lang w:eastAsia="zh-CN"/>
        </w:rPr>
        <w:t>slots</w:t>
      </w:r>
      <w:r w:rsidRPr="003628BA">
        <w:rPr>
          <w:b/>
          <w:i/>
          <w:lang w:eastAsia="zh-CN"/>
        </w:rPr>
        <w:t xml:space="preserve"> that are indicated</w:t>
      </w:r>
    </w:p>
    <w:p w14:paraId="761FFFC5" w14:textId="77777777" w:rsidR="0043037D" w:rsidRDefault="0043037D" w:rsidP="0043037D">
      <w:pPr>
        <w:widowControl w:val="0"/>
        <w:pBdr>
          <w:bottom w:val="single" w:sz="12" w:space="1" w:color="auto"/>
        </w:pBdr>
        <w:rPr>
          <w:b/>
          <w:i/>
          <w:color w:val="000000"/>
          <w:lang w:eastAsia="zh-CN"/>
        </w:rPr>
      </w:pPr>
      <w:r>
        <w:rPr>
          <w:rFonts w:hint="eastAsia"/>
          <w:b/>
          <w:i/>
          <w:color w:val="000000"/>
          <w:lang w:eastAsia="zh-CN"/>
        </w:rPr>
        <w:t>Proposal 3</w:t>
      </w:r>
      <w:r w:rsidRPr="003628BA">
        <w:rPr>
          <w:rFonts w:hint="eastAsia"/>
          <w:b/>
          <w:i/>
          <w:color w:val="000000"/>
          <w:lang w:eastAsia="zh-CN"/>
        </w:rPr>
        <w:t xml:space="preserve">: </w:t>
      </w:r>
      <w:r>
        <w:rPr>
          <w:b/>
          <w:i/>
          <w:color w:val="000000"/>
          <w:lang w:eastAsia="zh-CN"/>
        </w:rPr>
        <w:t>UE should be allowed to monitor more than one group common PDCCH in one slot depending on UE’s capability.</w:t>
      </w:r>
    </w:p>
    <w:p w14:paraId="44A41A62" w14:textId="77777777" w:rsidR="0043037D" w:rsidRPr="003628BA" w:rsidRDefault="0043037D" w:rsidP="0043037D">
      <w:pPr>
        <w:widowControl w:val="0"/>
        <w:pBdr>
          <w:bottom w:val="single" w:sz="12" w:space="1" w:color="auto"/>
        </w:pBdr>
        <w:rPr>
          <w:b/>
          <w:i/>
          <w:color w:val="000000"/>
          <w:lang w:eastAsia="zh-CN"/>
        </w:rPr>
      </w:pPr>
      <w:r>
        <w:rPr>
          <w:b/>
          <w:i/>
          <w:color w:val="000000"/>
          <w:lang w:eastAsia="zh-CN"/>
        </w:rPr>
        <w:t>Proposal 4: FFS how to indicate the slot format for the bandwidth part without configured GC-PDCCH transmission.</w:t>
      </w:r>
    </w:p>
    <w:p w14:paraId="1000451A" w14:textId="77777777" w:rsidR="005D6354" w:rsidRDefault="005D6354" w:rsidP="005D6354">
      <w:pPr>
        <w:pStyle w:val="1"/>
      </w:pPr>
      <w:r>
        <w:t>References</w:t>
      </w:r>
    </w:p>
    <w:p w14:paraId="7567BF7F" w14:textId="7C478D49" w:rsidR="005D6354" w:rsidRDefault="005D6354" w:rsidP="005D6354">
      <w:pPr>
        <w:widowControl w:val="0"/>
        <w:numPr>
          <w:ilvl w:val="0"/>
          <w:numId w:val="21"/>
        </w:numPr>
        <w:autoSpaceDE/>
        <w:autoSpaceDN/>
        <w:adjustRightInd/>
        <w:snapToGrid/>
      </w:pPr>
      <w:r>
        <w:rPr>
          <w:lang w:eastAsia="zh-CN"/>
        </w:rPr>
        <w:t>Chariman’s Notes RAN1_NR</w:t>
      </w:r>
      <w:r w:rsidR="00680AC7">
        <w:rPr>
          <w:lang w:eastAsia="zh-CN"/>
        </w:rPr>
        <w:t xml:space="preserve"> </w:t>
      </w:r>
      <w:r>
        <w:rPr>
          <w:lang w:eastAsia="zh-CN"/>
        </w:rPr>
        <w:t>adhoc</w:t>
      </w:r>
      <w:r w:rsidR="00680AC7">
        <w:rPr>
          <w:lang w:eastAsia="zh-CN"/>
        </w:rPr>
        <w:t>#2</w:t>
      </w:r>
      <w:r>
        <w:rPr>
          <w:lang w:eastAsia="zh-CN"/>
        </w:rPr>
        <w:t xml:space="preserve">_final  </w:t>
      </w:r>
    </w:p>
    <w:p w14:paraId="540CA5D3" w14:textId="6F111DB3" w:rsidR="008F14A9" w:rsidRDefault="00615645" w:rsidP="008F14A9">
      <w:pPr>
        <w:widowControl w:val="0"/>
        <w:numPr>
          <w:ilvl w:val="0"/>
          <w:numId w:val="21"/>
        </w:numPr>
        <w:autoSpaceDE/>
        <w:autoSpaceDN/>
        <w:adjustRightInd/>
        <w:snapToGrid/>
      </w:pPr>
      <w:r>
        <w:t>3GPP RAN1 88bis</w:t>
      </w:r>
      <w:r w:rsidR="008F14A9">
        <w:t xml:space="preserve"> chairmannote</w:t>
      </w:r>
    </w:p>
    <w:p w14:paraId="3066E4D4" w14:textId="6C8E6E20" w:rsidR="00200AE6" w:rsidRPr="005D6354" w:rsidRDefault="00200AE6" w:rsidP="005D6354"/>
    <w:sectPr w:rsidR="00200AE6" w:rsidRPr="005D63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95A9C" w14:textId="77777777" w:rsidR="00587FDB" w:rsidRDefault="00587FDB">
      <w:r>
        <w:separator/>
      </w:r>
    </w:p>
  </w:endnote>
  <w:endnote w:type="continuationSeparator" w:id="0">
    <w:p w14:paraId="62143CB6" w14:textId="77777777" w:rsidR="00587FDB" w:rsidRDefault="0058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006F1" w14:textId="77777777" w:rsidR="00587FDB" w:rsidRDefault="00587FDB">
      <w:r>
        <w:separator/>
      </w:r>
    </w:p>
  </w:footnote>
  <w:footnote w:type="continuationSeparator" w:id="0">
    <w:p w14:paraId="471BBC6A" w14:textId="77777777" w:rsidR="00587FDB" w:rsidRDefault="00587F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1">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7">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1">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D838EC"/>
    <w:multiLevelType w:val="hybridMultilevel"/>
    <w:tmpl w:val="FAC04B50"/>
    <w:lvl w:ilvl="0" w:tplc="ACD60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561E50"/>
    <w:multiLevelType w:val="hybridMultilevel"/>
    <w:tmpl w:val="5AE2E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8FD03FD"/>
    <w:multiLevelType w:val="hybridMultilevel"/>
    <w:tmpl w:val="6A747E80"/>
    <w:lvl w:ilvl="0" w:tplc="508EDF16">
      <w:start w:val="1"/>
      <w:numFmt w:val="bullet"/>
      <w:lvlText w:val="•"/>
      <w:lvlJc w:val="left"/>
      <w:pPr>
        <w:tabs>
          <w:tab w:val="num" w:pos="720"/>
        </w:tabs>
        <w:ind w:left="720" w:hanging="360"/>
      </w:pPr>
      <w:rPr>
        <w:rFonts w:ascii="Arial" w:hAnsi="Arial" w:hint="default"/>
      </w:rPr>
    </w:lvl>
    <w:lvl w:ilvl="1" w:tplc="F9CE0414" w:tentative="1">
      <w:start w:val="1"/>
      <w:numFmt w:val="bullet"/>
      <w:lvlText w:val="•"/>
      <w:lvlJc w:val="left"/>
      <w:pPr>
        <w:tabs>
          <w:tab w:val="num" w:pos="1440"/>
        </w:tabs>
        <w:ind w:left="1440" w:hanging="360"/>
      </w:pPr>
      <w:rPr>
        <w:rFonts w:ascii="Arial" w:hAnsi="Arial" w:hint="default"/>
      </w:rPr>
    </w:lvl>
    <w:lvl w:ilvl="2" w:tplc="D71A798E" w:tentative="1">
      <w:start w:val="1"/>
      <w:numFmt w:val="bullet"/>
      <w:lvlText w:val="•"/>
      <w:lvlJc w:val="left"/>
      <w:pPr>
        <w:tabs>
          <w:tab w:val="num" w:pos="2160"/>
        </w:tabs>
        <w:ind w:left="2160" w:hanging="360"/>
      </w:pPr>
      <w:rPr>
        <w:rFonts w:ascii="Arial" w:hAnsi="Arial" w:hint="default"/>
      </w:rPr>
    </w:lvl>
    <w:lvl w:ilvl="3" w:tplc="C94879B8" w:tentative="1">
      <w:start w:val="1"/>
      <w:numFmt w:val="bullet"/>
      <w:lvlText w:val="•"/>
      <w:lvlJc w:val="left"/>
      <w:pPr>
        <w:tabs>
          <w:tab w:val="num" w:pos="2880"/>
        </w:tabs>
        <w:ind w:left="2880" w:hanging="360"/>
      </w:pPr>
      <w:rPr>
        <w:rFonts w:ascii="Arial" w:hAnsi="Arial" w:hint="default"/>
      </w:rPr>
    </w:lvl>
    <w:lvl w:ilvl="4" w:tplc="228249BA" w:tentative="1">
      <w:start w:val="1"/>
      <w:numFmt w:val="bullet"/>
      <w:lvlText w:val="•"/>
      <w:lvlJc w:val="left"/>
      <w:pPr>
        <w:tabs>
          <w:tab w:val="num" w:pos="3600"/>
        </w:tabs>
        <w:ind w:left="3600" w:hanging="360"/>
      </w:pPr>
      <w:rPr>
        <w:rFonts w:ascii="Arial" w:hAnsi="Arial" w:hint="default"/>
      </w:rPr>
    </w:lvl>
    <w:lvl w:ilvl="5" w:tplc="F6862720" w:tentative="1">
      <w:start w:val="1"/>
      <w:numFmt w:val="bullet"/>
      <w:lvlText w:val="•"/>
      <w:lvlJc w:val="left"/>
      <w:pPr>
        <w:tabs>
          <w:tab w:val="num" w:pos="4320"/>
        </w:tabs>
        <w:ind w:left="4320" w:hanging="360"/>
      </w:pPr>
      <w:rPr>
        <w:rFonts w:ascii="Arial" w:hAnsi="Arial" w:hint="default"/>
      </w:rPr>
    </w:lvl>
    <w:lvl w:ilvl="6" w:tplc="78F6D008" w:tentative="1">
      <w:start w:val="1"/>
      <w:numFmt w:val="bullet"/>
      <w:lvlText w:val="•"/>
      <w:lvlJc w:val="left"/>
      <w:pPr>
        <w:tabs>
          <w:tab w:val="num" w:pos="5040"/>
        </w:tabs>
        <w:ind w:left="5040" w:hanging="360"/>
      </w:pPr>
      <w:rPr>
        <w:rFonts w:ascii="Arial" w:hAnsi="Arial" w:hint="default"/>
      </w:rPr>
    </w:lvl>
    <w:lvl w:ilvl="7" w:tplc="47E0A9EA" w:tentative="1">
      <w:start w:val="1"/>
      <w:numFmt w:val="bullet"/>
      <w:lvlText w:val="•"/>
      <w:lvlJc w:val="left"/>
      <w:pPr>
        <w:tabs>
          <w:tab w:val="num" w:pos="5760"/>
        </w:tabs>
        <w:ind w:left="5760" w:hanging="360"/>
      </w:pPr>
      <w:rPr>
        <w:rFonts w:ascii="Arial" w:hAnsi="Arial" w:hint="default"/>
      </w:rPr>
    </w:lvl>
    <w:lvl w:ilvl="8" w:tplc="187E217A" w:tentative="1">
      <w:start w:val="1"/>
      <w:numFmt w:val="bullet"/>
      <w:lvlText w:val="•"/>
      <w:lvlJc w:val="left"/>
      <w:pPr>
        <w:tabs>
          <w:tab w:val="num" w:pos="6480"/>
        </w:tabs>
        <w:ind w:left="6480" w:hanging="360"/>
      </w:pPr>
      <w:rPr>
        <w:rFonts w:ascii="Arial" w:hAnsi="Arial" w:hint="default"/>
      </w:rPr>
    </w:lvl>
  </w:abstractNum>
  <w:abstractNum w:abstractNumId="26">
    <w:nsid w:val="38FE237E"/>
    <w:multiLevelType w:val="hybridMultilevel"/>
    <w:tmpl w:val="60B6BC70"/>
    <w:lvl w:ilvl="0" w:tplc="D1E00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9">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5B4627"/>
    <w:multiLevelType w:val="hybridMultilevel"/>
    <w:tmpl w:val="C50CDF40"/>
    <w:lvl w:ilvl="0" w:tplc="50BCA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7">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8">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F265DD5"/>
    <w:multiLevelType w:val="hybridMultilevel"/>
    <w:tmpl w:val="765E6F16"/>
    <w:lvl w:ilvl="0" w:tplc="7EC23D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42">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46"/>
  </w:num>
  <w:num w:numId="3">
    <w:abstractNumId w:val="43"/>
  </w:num>
  <w:num w:numId="4">
    <w:abstractNumId w:val="44"/>
  </w:num>
  <w:num w:numId="5">
    <w:abstractNumId w:val="33"/>
  </w:num>
  <w:num w:numId="6">
    <w:abstractNumId w:val="29"/>
  </w:num>
  <w:num w:numId="7">
    <w:abstractNumId w:val="38"/>
  </w:num>
  <w:num w:numId="8">
    <w:abstractNumId w:val="45"/>
  </w:num>
  <w:num w:numId="9">
    <w:abstractNumId w:val="12"/>
  </w:num>
  <w:num w:numId="10">
    <w:abstractNumId w:val="21"/>
  </w:num>
  <w:num w:numId="11">
    <w:abstractNumId w:val="13"/>
  </w:num>
  <w:num w:numId="12">
    <w:abstractNumId w:val="47"/>
  </w:num>
  <w:num w:numId="13">
    <w:abstractNumId w:val="34"/>
  </w:num>
  <w:num w:numId="14">
    <w:abstractNumId w:val="3"/>
  </w:num>
  <w:num w:numId="15">
    <w:abstractNumId w:val="39"/>
  </w:num>
  <w:num w:numId="16">
    <w:abstractNumId w:val="42"/>
  </w:num>
  <w:num w:numId="17">
    <w:abstractNumId w:val="7"/>
  </w:num>
  <w:num w:numId="18">
    <w:abstractNumId w:val="37"/>
  </w:num>
  <w:num w:numId="19">
    <w:abstractNumId w:val="35"/>
  </w:num>
  <w:num w:numId="20">
    <w:abstractNumId w:val="33"/>
  </w:num>
  <w:num w:numId="21">
    <w:abstractNumId w:val="15"/>
  </w:num>
  <w:num w:numId="22">
    <w:abstractNumId w:val="5"/>
  </w:num>
  <w:num w:numId="23">
    <w:abstractNumId w:val="0"/>
  </w:num>
  <w:num w:numId="24">
    <w:abstractNumId w:val="19"/>
  </w:num>
  <w:num w:numId="25">
    <w:abstractNumId w:val="6"/>
  </w:num>
  <w:num w:numId="26">
    <w:abstractNumId w:val="36"/>
  </w:num>
  <w:num w:numId="27">
    <w:abstractNumId w:val="14"/>
  </w:num>
  <w:num w:numId="28">
    <w:abstractNumId w:val="31"/>
  </w:num>
  <w:num w:numId="29">
    <w:abstractNumId w:val="32"/>
  </w:num>
  <w:num w:numId="30">
    <w:abstractNumId w:val="1"/>
  </w:num>
  <w:num w:numId="31">
    <w:abstractNumId w:val="8"/>
  </w:num>
  <w:num w:numId="32">
    <w:abstractNumId w:val="2"/>
  </w:num>
  <w:num w:numId="33">
    <w:abstractNumId w:val="41"/>
  </w:num>
  <w:num w:numId="34">
    <w:abstractNumId w:val="20"/>
  </w:num>
  <w:num w:numId="35">
    <w:abstractNumId w:val="33"/>
  </w:num>
  <w:num w:numId="36">
    <w:abstractNumId w:val="28"/>
  </w:num>
  <w:num w:numId="37">
    <w:abstractNumId w:val="23"/>
  </w:num>
  <w:num w:numId="38">
    <w:abstractNumId w:val="18"/>
  </w:num>
  <w:num w:numId="39">
    <w:abstractNumId w:val="17"/>
  </w:num>
  <w:num w:numId="40">
    <w:abstractNumId w:val="22"/>
  </w:num>
  <w:num w:numId="41">
    <w:abstractNumId w:val="4"/>
  </w:num>
  <w:num w:numId="42">
    <w:abstractNumId w:val="24"/>
  </w:num>
  <w:num w:numId="43">
    <w:abstractNumId w:val="25"/>
  </w:num>
  <w:num w:numId="44">
    <w:abstractNumId w:val="10"/>
  </w:num>
  <w:num w:numId="45">
    <w:abstractNumId w:val="9"/>
  </w:num>
  <w:num w:numId="46">
    <w:abstractNumId w:val="26"/>
  </w:num>
  <w:num w:numId="47">
    <w:abstractNumId w:val="30"/>
  </w:num>
  <w:num w:numId="48">
    <w:abstractNumId w:val="11"/>
  </w:num>
  <w:num w:numId="49">
    <w:abstractNumId w:val="16"/>
  </w:num>
  <w:num w:numId="50">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BBA"/>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3F75"/>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4ACA"/>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97"/>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6F"/>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6BF6"/>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E9D"/>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A2C"/>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6217"/>
    <w:rsid w:val="0021753A"/>
    <w:rsid w:val="00217B99"/>
    <w:rsid w:val="00217C98"/>
    <w:rsid w:val="00217CD1"/>
    <w:rsid w:val="00217D4D"/>
    <w:rsid w:val="00217D6F"/>
    <w:rsid w:val="00217F39"/>
    <w:rsid w:val="00220575"/>
    <w:rsid w:val="00220576"/>
    <w:rsid w:val="00220894"/>
    <w:rsid w:val="00221DE9"/>
    <w:rsid w:val="00222241"/>
    <w:rsid w:val="00222B97"/>
    <w:rsid w:val="00222D3E"/>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04"/>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323"/>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48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6C0"/>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81F"/>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976"/>
    <w:rsid w:val="00373ABB"/>
    <w:rsid w:val="00373C75"/>
    <w:rsid w:val="00373DBA"/>
    <w:rsid w:val="00374059"/>
    <w:rsid w:val="003744B2"/>
    <w:rsid w:val="003749C4"/>
    <w:rsid w:val="003749F2"/>
    <w:rsid w:val="00374B14"/>
    <w:rsid w:val="00374D3E"/>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5D3"/>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D20"/>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4F47"/>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37D"/>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C2A"/>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7E8"/>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3E8"/>
    <w:rsid w:val="004C78EF"/>
    <w:rsid w:val="004C7948"/>
    <w:rsid w:val="004C7BB8"/>
    <w:rsid w:val="004C7C54"/>
    <w:rsid w:val="004C7C60"/>
    <w:rsid w:val="004C7F9B"/>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B86"/>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75E"/>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2A"/>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94"/>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6B70"/>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87FDB"/>
    <w:rsid w:val="0059032C"/>
    <w:rsid w:val="005906AD"/>
    <w:rsid w:val="00590A44"/>
    <w:rsid w:val="00590B78"/>
    <w:rsid w:val="00590CF6"/>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271"/>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E0F"/>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645"/>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2F1A"/>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AC7"/>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C89"/>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A2B"/>
    <w:rsid w:val="006B6B61"/>
    <w:rsid w:val="006B7823"/>
    <w:rsid w:val="006B7C3F"/>
    <w:rsid w:val="006B7D22"/>
    <w:rsid w:val="006B7D2C"/>
    <w:rsid w:val="006B7EAC"/>
    <w:rsid w:val="006C07EC"/>
    <w:rsid w:val="006C0DDC"/>
    <w:rsid w:val="006C0EED"/>
    <w:rsid w:val="006C1019"/>
    <w:rsid w:val="006C1048"/>
    <w:rsid w:val="006C141C"/>
    <w:rsid w:val="006C1798"/>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16E"/>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0D5"/>
    <w:rsid w:val="007312F6"/>
    <w:rsid w:val="00731309"/>
    <w:rsid w:val="00731672"/>
    <w:rsid w:val="007318BF"/>
    <w:rsid w:val="00731BB1"/>
    <w:rsid w:val="00731E2F"/>
    <w:rsid w:val="00731E7C"/>
    <w:rsid w:val="0073276B"/>
    <w:rsid w:val="007329EF"/>
    <w:rsid w:val="00732BB1"/>
    <w:rsid w:val="00733268"/>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BA4"/>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A24"/>
    <w:rsid w:val="00790CC5"/>
    <w:rsid w:val="00790E23"/>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5A5D"/>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0752"/>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4F93"/>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6FFF"/>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D"/>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4C2"/>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8A9"/>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029"/>
    <w:rsid w:val="00930203"/>
    <w:rsid w:val="009302BD"/>
    <w:rsid w:val="009308FA"/>
    <w:rsid w:val="0093094D"/>
    <w:rsid w:val="009309B7"/>
    <w:rsid w:val="0093117D"/>
    <w:rsid w:val="009316F7"/>
    <w:rsid w:val="009318BB"/>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66B"/>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675"/>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5E3"/>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CAD"/>
    <w:rsid w:val="00A02D73"/>
    <w:rsid w:val="00A0323D"/>
    <w:rsid w:val="00A0362E"/>
    <w:rsid w:val="00A03882"/>
    <w:rsid w:val="00A03A22"/>
    <w:rsid w:val="00A04616"/>
    <w:rsid w:val="00A04634"/>
    <w:rsid w:val="00A0498A"/>
    <w:rsid w:val="00A04DE8"/>
    <w:rsid w:val="00A04E7E"/>
    <w:rsid w:val="00A0536E"/>
    <w:rsid w:val="00A0556D"/>
    <w:rsid w:val="00A06119"/>
    <w:rsid w:val="00A0697E"/>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E1B"/>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475"/>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4D9"/>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3FCD"/>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C6B"/>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72"/>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AE1"/>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017"/>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2C5"/>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71F"/>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BB"/>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5FA8"/>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084"/>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1A0"/>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2B4"/>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87F"/>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708"/>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666"/>
    <w:rsid w:val="00ED3E70"/>
    <w:rsid w:val="00ED3F7B"/>
    <w:rsid w:val="00ED445A"/>
    <w:rsid w:val="00ED45C2"/>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0E5B"/>
    <w:rsid w:val="00F31217"/>
    <w:rsid w:val="00F312EF"/>
    <w:rsid w:val="00F3139E"/>
    <w:rsid w:val="00F314CB"/>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67B"/>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B5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453"/>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879CB"/>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7B9"/>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FE194-E6D7-4299-80BA-4A9F8C877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44084</TotalTime>
  <Pages>3</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213</cp:revision>
  <cp:lastPrinted>2015-03-27T14:25:00Z</cp:lastPrinted>
  <dcterms:created xsi:type="dcterms:W3CDTF">2016-04-01T01:50:00Z</dcterms:created>
  <dcterms:modified xsi:type="dcterms:W3CDTF">2017-08-11T09:19:00Z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